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2C0D0" w14:textId="77777777" w:rsidR="000B15D1" w:rsidRPr="007B7724" w:rsidRDefault="000B15D1" w:rsidP="000B15D1">
      <w:pPr>
        <w:spacing w:line="240" w:lineRule="auto"/>
        <w:rPr>
          <w:rFonts w:ascii="Nirmala UI" w:eastAsia="Nunito" w:hAnsi="Nirmala UI" w:cs="Nirmala UI"/>
          <w:b/>
          <w:u w:val="single"/>
        </w:rPr>
      </w:pPr>
      <w:r w:rsidRPr="007B7724">
        <w:rPr>
          <w:rFonts w:ascii="Nirmala UI" w:eastAsia="Nunito" w:hAnsi="Nirmala UI" w:cs="Nirmala UI"/>
          <w:b/>
          <w:u w:val="single"/>
        </w:rPr>
        <w:t>AGENDA – ITEMS</w:t>
      </w:r>
    </w:p>
    <w:tbl>
      <w:tblPr>
        <w:tblStyle w:val="4"/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647"/>
      </w:tblGrid>
      <w:tr w:rsidR="000B15D1" w:rsidRPr="007D6BAF" w14:paraId="36FBEBF1" w14:textId="77777777" w:rsidTr="000B15D1">
        <w:trPr>
          <w:trHeight w:val="1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BF9A1" w14:textId="77777777" w:rsidR="000B15D1" w:rsidRPr="007D6BAF" w:rsidRDefault="000B15D1" w:rsidP="00F355E5">
            <w:pPr>
              <w:spacing w:line="192" w:lineRule="auto"/>
              <w:ind w:left="60"/>
              <w:rPr>
                <w:rFonts w:ascii="Nirmala UI" w:eastAsia="Nunito" w:hAnsi="Nirmala UI" w:cs="Nirmala UI"/>
                <w:b/>
              </w:rPr>
            </w:pPr>
            <w:bookmarkStart w:id="0" w:name="_Hlk25316741"/>
            <w:r w:rsidRPr="007D6BAF">
              <w:rPr>
                <w:rFonts w:ascii="Nirmala UI" w:eastAsia="Nunito" w:hAnsi="Nirmala UI" w:cs="Nirmala UI"/>
                <w:b/>
              </w:rPr>
              <w:t>Item No</w:t>
            </w:r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57F3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bookmarkStart w:id="1" w:name="_GoBack"/>
            <w:bookmarkEnd w:id="1"/>
            <w:r w:rsidRPr="007D6BAF">
              <w:rPr>
                <w:rFonts w:ascii="Nirmala UI" w:eastAsia="Nunito" w:hAnsi="Nirmala UI" w:cs="Nirmala UI"/>
                <w:b/>
              </w:rPr>
              <w:t>Details of Agenda</w:t>
            </w:r>
          </w:p>
        </w:tc>
      </w:tr>
      <w:tr w:rsidR="000B15D1" w:rsidRPr="007D6BAF" w14:paraId="07B2D722" w14:textId="77777777" w:rsidTr="000B15D1">
        <w:trPr>
          <w:trHeight w:val="204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48F9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78326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Confirmation of the Minutes of the 1</w:t>
            </w:r>
            <w:r w:rsidRPr="007D6BAF">
              <w:rPr>
                <w:rFonts w:ascii="Nirmala UI" w:eastAsia="Nunito" w:hAnsi="Nirmala UI" w:cs="Nirmala UI"/>
                <w:vertAlign w:val="superscript"/>
              </w:rPr>
              <w:t>st</w:t>
            </w:r>
            <w:r w:rsidRPr="007D6BAF">
              <w:rPr>
                <w:rFonts w:ascii="Nirmala UI" w:eastAsia="Nunito" w:hAnsi="Nirmala UI" w:cs="Nirmala UI"/>
              </w:rPr>
              <w:t xml:space="preserve"> SSC meeting held on 09</w:t>
            </w:r>
            <w:r w:rsidRPr="007D6BAF">
              <w:rPr>
                <w:rFonts w:ascii="Nirmala UI" w:eastAsia="Nunito" w:hAnsi="Nirmala UI" w:cs="Nirmala UI"/>
                <w:vertAlign w:val="superscript"/>
              </w:rPr>
              <w:t>th</w:t>
            </w:r>
            <w:r w:rsidRPr="007D6BAF">
              <w:rPr>
                <w:rFonts w:ascii="Nirmala UI" w:eastAsia="Nunito" w:hAnsi="Nirmala UI" w:cs="Nirmala UI"/>
              </w:rPr>
              <w:t>January, 2019</w:t>
            </w:r>
          </w:p>
        </w:tc>
      </w:tr>
      <w:tr w:rsidR="000B15D1" w:rsidRPr="007D6BAF" w14:paraId="09737949" w14:textId="77777777" w:rsidTr="000B15D1">
        <w:trPr>
          <w:trHeight w:val="1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E52D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E789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Action taken on the decisions of 1</w:t>
            </w:r>
            <w:r w:rsidRPr="007D6BAF">
              <w:rPr>
                <w:rFonts w:ascii="Nirmala UI" w:eastAsia="Nunito" w:hAnsi="Nirmala UI" w:cs="Nirmala UI"/>
                <w:vertAlign w:val="superscript"/>
              </w:rPr>
              <w:t xml:space="preserve">st </w:t>
            </w:r>
            <w:r w:rsidRPr="007D6BAF">
              <w:rPr>
                <w:rFonts w:ascii="Nirmala UI" w:eastAsia="Nunito" w:hAnsi="Nirmala UI" w:cs="Nirmala UI"/>
              </w:rPr>
              <w:t>SSC meeting held on 09</w:t>
            </w:r>
            <w:r w:rsidRPr="007D6BAF">
              <w:rPr>
                <w:rFonts w:ascii="Nirmala UI" w:eastAsia="Nunito" w:hAnsi="Nirmala UI" w:cs="Nirmala UI"/>
                <w:vertAlign w:val="superscript"/>
              </w:rPr>
              <w:t>th</w:t>
            </w:r>
            <w:r w:rsidRPr="007D6BAF">
              <w:rPr>
                <w:rFonts w:ascii="Nirmala UI" w:eastAsia="Nunito" w:hAnsi="Nirmala UI" w:cs="Nirmala UI"/>
              </w:rPr>
              <w:t xml:space="preserve"> January, 2019</w:t>
            </w:r>
          </w:p>
        </w:tc>
      </w:tr>
      <w:tr w:rsidR="000B15D1" w:rsidRPr="007D6BAF" w14:paraId="76D4AC7C" w14:textId="77777777" w:rsidTr="000B15D1">
        <w:trPr>
          <w:trHeight w:val="6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8BA9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9754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Status of DLI#1 – NBA Accreditation</w:t>
            </w:r>
          </w:p>
        </w:tc>
      </w:tr>
      <w:tr w:rsidR="000B15D1" w:rsidRPr="007D6BAF" w14:paraId="631398E6" w14:textId="77777777" w:rsidTr="000B15D1">
        <w:trPr>
          <w:trHeight w:val="2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1033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57CF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Status of DLI#2 – Institutional Autonomy</w:t>
            </w:r>
          </w:p>
        </w:tc>
      </w:tr>
      <w:tr w:rsidR="000B15D1" w:rsidRPr="007D6BAF" w14:paraId="0BAFB9E5" w14:textId="77777777" w:rsidTr="000B15D1">
        <w:trPr>
          <w:trHeight w:val="207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ACFD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1BEF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Status of DLI#3 – Board of Governors</w:t>
            </w:r>
          </w:p>
        </w:tc>
      </w:tr>
      <w:tr w:rsidR="000B15D1" w:rsidRPr="007D6BAF" w14:paraId="7D991E97" w14:textId="77777777" w:rsidTr="000B15D1">
        <w:trPr>
          <w:trHeight w:val="157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B31DF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343E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Status of DLI#4 – Exit Examination (GATE)</w:t>
            </w:r>
          </w:p>
        </w:tc>
      </w:tr>
      <w:tr w:rsidR="000B15D1" w:rsidRPr="007D6BAF" w14:paraId="3F0F3D01" w14:textId="77777777" w:rsidTr="000B15D1">
        <w:trPr>
          <w:trHeight w:val="7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85B5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5E86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Status of DLI#5 – Timelines of allocations, utilization and expenditure</w:t>
            </w:r>
          </w:p>
        </w:tc>
      </w:tr>
      <w:tr w:rsidR="000B15D1" w:rsidRPr="007D6BAF" w14:paraId="1A0CBD15" w14:textId="77777777" w:rsidTr="000B15D1">
        <w:trPr>
          <w:trHeight w:val="157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3065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7526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AICTE Mandate implementation</w:t>
            </w:r>
          </w:p>
        </w:tc>
      </w:tr>
      <w:tr w:rsidR="000B15D1" w:rsidRPr="007D6BAF" w14:paraId="62053307" w14:textId="77777777" w:rsidTr="000B15D1">
        <w:trPr>
          <w:trHeight w:val="377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A192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612A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ATU Mandate &amp; Status of TEQIP-III Implementation by Aryabhatta Knowledge University, Patna</w:t>
            </w:r>
          </w:p>
        </w:tc>
      </w:tr>
      <w:tr w:rsidR="000B15D1" w:rsidRPr="007D6BAF" w14:paraId="6A59C848" w14:textId="77777777" w:rsidTr="000B15D1">
        <w:trPr>
          <w:trHeight w:val="161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38EA6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60DA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Performance Audit and Mentoring</w:t>
            </w:r>
          </w:p>
        </w:tc>
      </w:tr>
      <w:tr w:rsidR="000B15D1" w:rsidRPr="007D6BAF" w14:paraId="4275D431" w14:textId="77777777" w:rsidTr="000B15D1">
        <w:trPr>
          <w:trHeight w:val="2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6553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DB98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  <w:color w:val="FF0000"/>
              </w:rPr>
            </w:pPr>
            <w:r w:rsidRPr="007B7724">
              <w:rPr>
                <w:rFonts w:ascii="Nirmala UI" w:eastAsia="Nunito" w:hAnsi="Nirmala UI" w:cs="Nirmala UI"/>
              </w:rPr>
              <w:t xml:space="preserve">SPIU-Bihar Action Plan </w:t>
            </w:r>
            <w:r w:rsidRPr="004C3A42">
              <w:rPr>
                <w:rFonts w:ascii="Nirmala UI" w:eastAsia="Nunito" w:hAnsi="Nirmala UI" w:cs="Nirmala UI"/>
                <w:color w:val="000000" w:themeColor="text1"/>
              </w:rPr>
              <w:t xml:space="preserve">for Quarter – III &amp; </w:t>
            </w:r>
            <w:proofErr w:type="gramStart"/>
            <w:r w:rsidRPr="004C3A42">
              <w:rPr>
                <w:rFonts w:ascii="Nirmala UI" w:eastAsia="Nunito" w:hAnsi="Nirmala UI" w:cs="Nirmala UI"/>
                <w:color w:val="000000" w:themeColor="text1"/>
              </w:rPr>
              <w:t>IV :</w:t>
            </w:r>
            <w:proofErr w:type="gramEnd"/>
            <w:r w:rsidRPr="004C3A42">
              <w:rPr>
                <w:rFonts w:ascii="Nirmala UI" w:eastAsia="Nunito" w:hAnsi="Nirmala UI" w:cs="Nirmala UI"/>
                <w:color w:val="000000" w:themeColor="text1"/>
              </w:rPr>
              <w:t xml:space="preserve"> 2019-20</w:t>
            </w:r>
          </w:p>
        </w:tc>
      </w:tr>
      <w:tr w:rsidR="000B15D1" w:rsidRPr="007D6BAF" w14:paraId="018641B5" w14:textId="77777777" w:rsidTr="000B15D1">
        <w:trPr>
          <w:trHeight w:val="27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2D79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5459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Equity Action Plan (EAP)</w:t>
            </w:r>
          </w:p>
        </w:tc>
      </w:tr>
      <w:tr w:rsidR="000B15D1" w:rsidRPr="007D6BAF" w14:paraId="5AF0CB63" w14:textId="77777777" w:rsidTr="000B15D1">
        <w:trPr>
          <w:trHeight w:val="2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625F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9109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Environmental Management Framework (EMF)</w:t>
            </w:r>
          </w:p>
        </w:tc>
      </w:tr>
      <w:tr w:rsidR="000B15D1" w:rsidRPr="007D6BAF" w14:paraId="380489AA" w14:textId="77777777" w:rsidTr="000B15D1">
        <w:trPr>
          <w:trHeight w:val="183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86D1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ED06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Status of Procurement and future Procurement targets by the 1.1 Institutions and ATU in the state of Bihar</w:t>
            </w:r>
          </w:p>
        </w:tc>
      </w:tr>
      <w:tr w:rsidR="000B15D1" w:rsidRPr="007D6BAF" w14:paraId="6EC37414" w14:textId="77777777" w:rsidTr="000B15D1">
        <w:trPr>
          <w:trHeight w:val="2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208B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298C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Status of Workshops, Review meetings conducted by SPIU</w:t>
            </w:r>
          </w:p>
        </w:tc>
      </w:tr>
      <w:tr w:rsidR="000B15D1" w:rsidRPr="007D6BAF" w14:paraId="67976CB2" w14:textId="77777777" w:rsidTr="000B15D1">
        <w:trPr>
          <w:trHeight w:val="2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91FB8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CACF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Central Interventions by NPIU</w:t>
            </w:r>
          </w:p>
        </w:tc>
      </w:tr>
      <w:tr w:rsidR="000B15D1" w:rsidRPr="007D6BAF" w14:paraId="2EE71840" w14:textId="77777777" w:rsidTr="000B15D1">
        <w:trPr>
          <w:trHeight w:val="2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CB6C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B126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SPIU and State intervention for Up skilling Employability for enhancing placement</w:t>
            </w:r>
          </w:p>
        </w:tc>
      </w:tr>
      <w:tr w:rsidR="000B15D1" w:rsidRPr="007D6BAF" w14:paraId="09D732B6" w14:textId="77777777" w:rsidTr="000B15D1">
        <w:trPr>
          <w:trHeight w:val="227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1DEC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ADC4D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Status of Performance Benchmarks for 1.1 and 1.2 Institutions</w:t>
            </w:r>
          </w:p>
        </w:tc>
      </w:tr>
      <w:tr w:rsidR="000B15D1" w:rsidRPr="007D6BAF" w14:paraId="260A42A9" w14:textId="77777777" w:rsidTr="000B15D1">
        <w:trPr>
          <w:trHeight w:val="2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2B63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4271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Collaborative Research Scheme (CRS) for TEQIP Faculty</w:t>
            </w:r>
          </w:p>
        </w:tc>
      </w:tr>
      <w:tr w:rsidR="000B15D1" w:rsidRPr="007D6BAF" w14:paraId="3128009F" w14:textId="77777777" w:rsidTr="000B15D1">
        <w:trPr>
          <w:trHeight w:val="2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042A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B6FE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 xml:space="preserve">Grievances of </w:t>
            </w:r>
            <w:proofErr w:type="gramStart"/>
            <w:r w:rsidRPr="007D6BAF">
              <w:rPr>
                <w:rFonts w:ascii="Nirmala UI" w:eastAsia="Nunito" w:hAnsi="Nirmala UI" w:cs="Nirmala UI"/>
              </w:rPr>
              <w:t>stakeholders</w:t>
            </w:r>
            <w:proofErr w:type="gramEnd"/>
            <w:r w:rsidRPr="007D6BAF">
              <w:rPr>
                <w:rFonts w:ascii="Nirmala UI" w:eastAsia="Nunito" w:hAnsi="Nirmala UI" w:cs="Nirmala UI"/>
              </w:rPr>
              <w:t xml:space="preserve"> vis –a-vis TEQIP-III in Bihar</w:t>
            </w:r>
          </w:p>
        </w:tc>
      </w:tr>
      <w:tr w:rsidR="000B15D1" w:rsidRPr="007D6BAF" w14:paraId="744F4F20" w14:textId="77777777" w:rsidTr="000B15D1">
        <w:trPr>
          <w:trHeight w:val="58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95C6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AA7BF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  <w:color w:val="FF0000"/>
              </w:rPr>
            </w:pPr>
            <w:r w:rsidRPr="007D6BAF">
              <w:rPr>
                <w:rFonts w:ascii="Nirmala UI" w:eastAsia="Nunito" w:hAnsi="Nirmala UI" w:cs="Nirmala UI"/>
                <w:color w:val="000000" w:themeColor="text1"/>
              </w:rPr>
              <w:t>Procurement Action Plan with realistic timeline for achieving 100% Procurement as per PLA by December, 2019 and total academic plan as per PLA for the Project period (</w:t>
            </w:r>
            <w:proofErr w:type="spellStart"/>
            <w:r w:rsidRPr="007D6BAF">
              <w:rPr>
                <w:rFonts w:ascii="Nirmala UI" w:eastAsia="Nunito" w:hAnsi="Nirmala UI" w:cs="Nirmala UI"/>
                <w:color w:val="000000" w:themeColor="text1"/>
              </w:rPr>
              <w:t>upto</w:t>
            </w:r>
            <w:proofErr w:type="spellEnd"/>
            <w:r w:rsidRPr="007D6BAF">
              <w:rPr>
                <w:rFonts w:ascii="Nirmala UI" w:eastAsia="Nunito" w:hAnsi="Nirmala UI" w:cs="Nirmala UI"/>
                <w:color w:val="000000" w:themeColor="text1"/>
              </w:rPr>
              <w:t xml:space="preserve"> September, 2020)</w:t>
            </w:r>
          </w:p>
        </w:tc>
      </w:tr>
      <w:tr w:rsidR="000B15D1" w:rsidRPr="007D6BAF" w14:paraId="3E132DCA" w14:textId="77777777" w:rsidTr="000B15D1">
        <w:trPr>
          <w:trHeight w:val="15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783C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2.22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6824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Financial Management, Major observations in Internal Audit and Statutory Audit</w:t>
            </w:r>
          </w:p>
        </w:tc>
      </w:tr>
      <w:tr w:rsidR="000B15D1" w:rsidRPr="007D6BAF" w14:paraId="23865B2F" w14:textId="77777777" w:rsidTr="000B15D1">
        <w:trPr>
          <w:trHeight w:val="2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6D83" w14:textId="77777777" w:rsidR="000B15D1" w:rsidRPr="007D6BAF" w:rsidRDefault="000B15D1" w:rsidP="00F355E5">
            <w:pPr>
              <w:spacing w:line="192" w:lineRule="auto"/>
              <w:ind w:right="20"/>
              <w:jc w:val="center"/>
              <w:rPr>
                <w:rFonts w:ascii="Nirmala UI" w:eastAsia="Nunito" w:hAnsi="Nirmala UI" w:cs="Nirmala UI"/>
                <w:b/>
              </w:rPr>
            </w:pPr>
            <w:r w:rsidRPr="007D6BAF">
              <w:rPr>
                <w:rFonts w:ascii="Nirmala UI" w:eastAsia="Nunito" w:hAnsi="Nirmala UI" w:cs="Nirmala UI"/>
                <w:b/>
              </w:rPr>
              <w:t>2.23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E6DF" w14:textId="77777777" w:rsidR="000B15D1" w:rsidRPr="007D6BAF" w:rsidRDefault="000B15D1" w:rsidP="00F355E5">
            <w:pPr>
              <w:spacing w:line="192" w:lineRule="auto"/>
              <w:rPr>
                <w:rFonts w:ascii="Nirmala UI" w:eastAsia="Nunito" w:hAnsi="Nirmala UI" w:cs="Nirmala UI"/>
              </w:rPr>
            </w:pPr>
            <w:r w:rsidRPr="007D6BAF">
              <w:rPr>
                <w:rFonts w:ascii="Nirmala UI" w:eastAsia="Nunito" w:hAnsi="Nirmala UI" w:cs="Nirmala UI"/>
              </w:rPr>
              <w:t>Any Other Issue with Permission of Chairman</w:t>
            </w:r>
          </w:p>
        </w:tc>
      </w:tr>
    </w:tbl>
    <w:bookmarkEnd w:id="0"/>
    <w:p w14:paraId="7464E2AD" w14:textId="77777777" w:rsidR="000B15D1" w:rsidRPr="007B7724" w:rsidRDefault="000B15D1" w:rsidP="000B15D1">
      <w:pPr>
        <w:spacing w:line="240" w:lineRule="auto"/>
        <w:rPr>
          <w:rFonts w:ascii="Nirmala UI" w:eastAsia="Nunito" w:hAnsi="Nirmala UI" w:cs="Nirmala UI"/>
        </w:rPr>
      </w:pPr>
      <w:r w:rsidRPr="007B7724">
        <w:rPr>
          <w:rFonts w:ascii="Nirmala UI" w:eastAsia="Nunito" w:hAnsi="Nirmala UI" w:cs="Nirmala UI"/>
        </w:rPr>
        <w:t xml:space="preserve"> </w:t>
      </w:r>
    </w:p>
    <w:p w14:paraId="5D59076C" w14:textId="77777777" w:rsidR="000B15D1" w:rsidRDefault="000B15D1" w:rsidP="000B15D1">
      <w:pPr>
        <w:spacing w:line="240" w:lineRule="auto"/>
        <w:rPr>
          <w:rFonts w:ascii="Nirmala UI" w:eastAsia="Nunito" w:hAnsi="Nirmala UI" w:cs="Nirmala UI"/>
        </w:rPr>
      </w:pPr>
      <w:r w:rsidRPr="007B7724">
        <w:rPr>
          <w:rFonts w:ascii="Nirmala UI" w:eastAsia="Nunito" w:hAnsi="Nirmala UI" w:cs="Nirmala UI"/>
        </w:rPr>
        <w:t xml:space="preserve"> </w:t>
      </w:r>
    </w:p>
    <w:p w14:paraId="159E05F5" w14:textId="77777777" w:rsidR="00F14DA9" w:rsidRDefault="00F14DA9"/>
    <w:sectPr w:rsidR="00F14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uni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D1"/>
    <w:rsid w:val="000B15D1"/>
    <w:rsid w:val="00F1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0B9B"/>
  <w15:chartTrackingRefBased/>
  <w15:docId w15:val="{A433D4F9-1810-42CC-A6A2-46733F5A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D1"/>
    <w:pPr>
      <w:spacing w:after="0" w:line="276" w:lineRule="auto"/>
    </w:pPr>
    <w:rPr>
      <w:rFonts w:ascii="Arial" w:eastAsia="Arial" w:hAnsi="Arial" w:cs="Arial"/>
      <w:lang w:val="e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">
    <w:name w:val="4"/>
    <w:basedOn w:val="TableNormal"/>
    <w:rsid w:val="000B15D1"/>
    <w:pPr>
      <w:spacing w:after="0" w:line="276" w:lineRule="auto"/>
    </w:pPr>
    <w:rPr>
      <w:rFonts w:ascii="Arial" w:eastAsia="Arial" w:hAnsi="Arial" w:cs="Arial"/>
      <w:lang w:val="en" w:eastAsia="en-IN" w:bidi="hi-I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zaman</dc:creator>
  <cp:keywords/>
  <dc:description/>
  <cp:lastModifiedBy>bushra zaman</cp:lastModifiedBy>
  <cp:revision>1</cp:revision>
  <dcterms:created xsi:type="dcterms:W3CDTF">2019-12-11T08:04:00Z</dcterms:created>
  <dcterms:modified xsi:type="dcterms:W3CDTF">2019-12-11T08:04:00Z</dcterms:modified>
</cp:coreProperties>
</file>